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6238E1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6238E1">
        <w:rPr>
          <w:rFonts w:eastAsia="Calibri"/>
          <w:b/>
          <w:bCs/>
          <w:szCs w:val="24"/>
        </w:rPr>
        <w:t>Оброчинского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</w:t>
      </w:r>
      <w:r w:rsidR="00E23D9E">
        <w:rPr>
          <w:rFonts w:eastAsia="Calibri"/>
          <w:b/>
          <w:bCs/>
          <w:szCs w:val="24"/>
        </w:rPr>
        <w:t xml:space="preserve">                                                              </w:t>
      </w:r>
      <w:r>
        <w:rPr>
          <w:rFonts w:eastAsia="Calibri"/>
          <w:b/>
          <w:bCs/>
          <w:szCs w:val="24"/>
        </w:rPr>
        <w:t>(с измене</w:t>
      </w:r>
      <w:r w:rsidR="006238E1">
        <w:rPr>
          <w:rFonts w:eastAsia="Calibri"/>
          <w:b/>
          <w:bCs/>
          <w:szCs w:val="24"/>
        </w:rPr>
        <w:t>ниями, внесенными решением от 3 ноября 2017 года № 53</w:t>
      </w:r>
      <w:r>
        <w:rPr>
          <w:rFonts w:eastAsia="Calibri"/>
          <w:b/>
          <w:bCs/>
          <w:szCs w:val="24"/>
        </w:rPr>
        <w:t>)</w:t>
      </w:r>
      <w:r w:rsidR="00E23D9E" w:rsidRPr="00E23D9E">
        <w:t xml:space="preserve"> </w:t>
      </w:r>
      <w:r w:rsidR="00E23D9E">
        <w:t xml:space="preserve">                                                   </w:t>
      </w:r>
      <w:r w:rsidR="00E23D9E" w:rsidRPr="00E23D9E">
        <w:rPr>
          <w:rFonts w:eastAsia="Calibri"/>
          <w:b/>
          <w:bCs/>
          <w:szCs w:val="24"/>
        </w:rPr>
        <w:t>(Ж 1 – зона застройки индивидуальными жилыми домами)</w:t>
      </w:r>
    </w:p>
    <w:p w:rsidR="00E23D9E" w:rsidRPr="003446F1" w:rsidRDefault="00E23D9E" w:rsidP="00E23D9E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3446F1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2. В случае</w:t>
      </w:r>
      <w:proofErr w:type="gramStart"/>
      <w:r w:rsidRPr="00093188">
        <w:rPr>
          <w:rFonts w:eastAsia="Calibri"/>
          <w:szCs w:val="24"/>
        </w:rPr>
        <w:t>,</w:t>
      </w:r>
      <w:proofErr w:type="gramEnd"/>
      <w:r w:rsidRPr="00093188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093188">
          <w:rPr>
            <w:rFonts w:eastAsia="Calibri"/>
            <w:szCs w:val="24"/>
          </w:rPr>
          <w:t>пунктами 2</w:t>
        </w:r>
      </w:hyperlink>
      <w:r w:rsidRPr="00093188">
        <w:rPr>
          <w:rFonts w:eastAsia="Calibri"/>
          <w:szCs w:val="24"/>
        </w:rPr>
        <w:t xml:space="preserve"> - </w:t>
      </w:r>
      <w:hyperlink r:id="rId7" w:history="1">
        <w:r w:rsidRPr="00093188">
          <w:rPr>
            <w:rFonts w:eastAsia="Calibri"/>
            <w:szCs w:val="24"/>
          </w:rPr>
          <w:t>4 части 1</w:t>
        </w:r>
      </w:hyperlink>
      <w:r w:rsidRPr="00093188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 xml:space="preserve">3. </w:t>
      </w:r>
      <w:proofErr w:type="gramStart"/>
      <w:r w:rsidRPr="00093188">
        <w:rPr>
          <w:rFonts w:eastAsia="Calibri"/>
          <w:szCs w:val="24"/>
        </w:rPr>
        <w:t xml:space="preserve">Наряду с указанными в </w:t>
      </w:r>
      <w:hyperlink r:id="rId8" w:history="1">
        <w:r w:rsidRPr="00093188">
          <w:rPr>
            <w:rFonts w:eastAsia="Calibri"/>
            <w:szCs w:val="24"/>
          </w:rPr>
          <w:t>пунктах 2</w:t>
        </w:r>
      </w:hyperlink>
      <w:r w:rsidRPr="00093188">
        <w:rPr>
          <w:rFonts w:eastAsia="Calibri"/>
          <w:szCs w:val="24"/>
        </w:rPr>
        <w:t xml:space="preserve"> - </w:t>
      </w:r>
      <w:hyperlink r:id="rId9" w:history="1">
        <w:r w:rsidRPr="00093188">
          <w:rPr>
            <w:rFonts w:eastAsia="Calibri"/>
            <w:szCs w:val="24"/>
          </w:rPr>
          <w:t>4 части 1</w:t>
        </w:r>
      </w:hyperlink>
      <w:r w:rsidRPr="00093188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093188">
          <w:rPr>
            <w:rFonts w:eastAsia="Calibri"/>
            <w:szCs w:val="24"/>
          </w:rPr>
          <w:t>части 1</w:t>
        </w:r>
      </w:hyperlink>
      <w:r w:rsidRPr="00093188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E23D9E" w:rsidRPr="00093188" w:rsidRDefault="00E23D9E" w:rsidP="00E23D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093188">
        <w:rPr>
          <w:rFonts w:eastAsia="Calibri"/>
          <w:szCs w:val="24"/>
        </w:rPr>
        <w:t>подзоны</w:t>
      </w:r>
      <w:proofErr w:type="spellEnd"/>
      <w:r w:rsidRPr="00093188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6238E1" w:rsidRDefault="006238E1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6238E1">
        <w:rPr>
          <w:rFonts w:eastAsia="Calibri"/>
          <w:b/>
          <w:bCs/>
          <w:szCs w:val="24"/>
        </w:rPr>
        <w:t>Статья 53</w:t>
      </w:r>
      <w:r>
        <w:rPr>
          <w:rFonts w:eastAsia="Calibri"/>
          <w:b/>
          <w:bCs/>
          <w:szCs w:val="24"/>
        </w:rPr>
        <w:t>.</w:t>
      </w:r>
      <w:r w:rsidRPr="006238E1">
        <w:rPr>
          <w:rFonts w:eastAsia="Calibri"/>
          <w:b/>
          <w:bCs/>
          <w:szCs w:val="24"/>
        </w:rPr>
        <w:t xml:space="preserve"> Общие требования застройки участков жилых и общественно-деловых зон</w:t>
      </w:r>
    </w:p>
    <w:p w:rsidR="006238E1" w:rsidRPr="006238E1" w:rsidRDefault="006238E1" w:rsidP="006238E1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6238E1">
        <w:rPr>
          <w:szCs w:val="22"/>
        </w:rPr>
        <w:t>приведены</w:t>
      </w:r>
      <w:proofErr w:type="gramEnd"/>
      <w:r w:rsidRPr="006238E1">
        <w:rPr>
          <w:szCs w:val="22"/>
        </w:rPr>
        <w:t xml:space="preserve"> в нижеследующей таблице.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Основными показателями плотности застройки являются: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- коэффициент застройки - отношение площади, занятой под зданиями и сооружениями, к площади участка (квартала);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- коэффициент плотности застройки - отношение площади всех этажей зданий и сооружений к площади участка (квартала).</w:t>
      </w:r>
    </w:p>
    <w:p w:rsidR="006238E1" w:rsidRPr="006238E1" w:rsidRDefault="006238E1" w:rsidP="006238E1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6238E1" w:rsidRPr="006238E1" w:rsidTr="00DD1D2F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6238E1" w:rsidRPr="006238E1" w:rsidTr="00DD1D2F">
        <w:trPr>
          <w:trHeight w:val="179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6238E1" w:rsidRPr="006238E1" w:rsidRDefault="006238E1" w:rsidP="006238E1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6238E1" w:rsidRPr="006238E1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0,8 </w:t>
            </w:r>
          </w:p>
        </w:tc>
      </w:tr>
      <w:tr w:rsidR="006238E1" w:rsidRPr="006238E1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6238E1">
              <w:rPr>
                <w:rFonts w:eastAsia="Calibri"/>
                <w:sz w:val="20"/>
              </w:rPr>
              <w:t>приквартирными</w:t>
            </w:r>
            <w:proofErr w:type="spellEnd"/>
            <w:r w:rsidRPr="006238E1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0,6 </w:t>
            </w:r>
          </w:p>
        </w:tc>
      </w:tr>
      <w:tr w:rsidR="006238E1" w:rsidRPr="006238E1" w:rsidTr="00DD1D2F">
        <w:trPr>
          <w:trHeight w:val="749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 </w:t>
            </w:r>
          </w:p>
          <w:p w:rsidR="006238E1" w:rsidRPr="006238E1" w:rsidRDefault="006238E1" w:rsidP="006238E1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6238E1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6238E1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 </w:t>
            </w:r>
          </w:p>
          <w:p w:rsidR="006238E1" w:rsidRPr="006238E1" w:rsidRDefault="006238E1" w:rsidP="006238E1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 </w:t>
            </w:r>
          </w:p>
          <w:p w:rsidR="006238E1" w:rsidRPr="006238E1" w:rsidRDefault="006238E1" w:rsidP="006238E1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0,4 </w:t>
            </w:r>
          </w:p>
        </w:tc>
      </w:tr>
      <w:tr w:rsidR="006238E1" w:rsidRPr="006238E1" w:rsidTr="00DD1D2F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6238E1" w:rsidRPr="006238E1" w:rsidRDefault="006238E1" w:rsidP="006238E1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Примечания. </w:t>
            </w:r>
          </w:p>
          <w:p w:rsidR="006238E1" w:rsidRPr="006238E1" w:rsidRDefault="006238E1" w:rsidP="006238E1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6238E1" w:rsidRPr="006238E1" w:rsidRDefault="006238E1" w:rsidP="006238E1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6238E1" w:rsidRPr="006238E1" w:rsidRDefault="006238E1" w:rsidP="006238E1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6238E1" w:rsidRPr="006238E1" w:rsidRDefault="006238E1" w:rsidP="006238E1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16"/>
              </w:rPr>
            </w:pPr>
            <w:r w:rsidRPr="006238E1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6238E1">
              <w:rPr>
                <w:rFonts w:eastAsia="Calibri"/>
                <w:sz w:val="20"/>
              </w:rPr>
              <w:t>о-</w:t>
            </w:r>
            <w:proofErr w:type="gramEnd"/>
            <w:r w:rsidRPr="006238E1">
              <w:rPr>
                <w:rFonts w:eastAsia="Calibri"/>
                <w:sz w:val="20"/>
              </w:rPr>
              <w:t xml:space="preserve"> гигиенических и противопожарных норм.</w:t>
            </w:r>
            <w:r w:rsidRPr="006238E1">
              <w:rPr>
                <w:rFonts w:eastAsia="Calibri"/>
                <w:sz w:val="16"/>
              </w:rPr>
              <w:t xml:space="preserve"> </w:t>
            </w:r>
          </w:p>
        </w:tc>
      </w:tr>
    </w:tbl>
    <w:p w:rsidR="006238E1" w:rsidRPr="006238E1" w:rsidRDefault="006238E1" w:rsidP="006238E1">
      <w:pPr>
        <w:tabs>
          <w:tab w:val="left" w:pos="993"/>
        </w:tabs>
        <w:spacing w:after="6" w:line="247" w:lineRule="auto"/>
        <w:ind w:left="709" w:right="10"/>
        <w:jc w:val="both"/>
      </w:pP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обособленные от жилой территории входы для посетителей;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отделение нежилых помещений </w:t>
      </w:r>
      <w:proofErr w:type="gramStart"/>
      <w:r w:rsidRPr="006238E1">
        <w:t>от</w:t>
      </w:r>
      <w:proofErr w:type="gramEnd"/>
      <w:r w:rsidRPr="006238E1">
        <w:t xml:space="preserve"> жилых противопожарными, звукоизолирующими перекрытиями и перегородками;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индивидуальные системы инженерного обеспечения встроенных помещений.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6238E1">
          <w:t>2008 г</w:t>
        </w:r>
      </w:smartTag>
      <w:r w:rsidRPr="006238E1">
        <w:t xml:space="preserve">. № 123-ФЗ).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Доля встроенного нежилого фонда в общем объеме фонда на участке жилой застройки не должна превышать 20 %.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Размеры приусадебных и </w:t>
      </w:r>
      <w:proofErr w:type="spellStart"/>
      <w:r w:rsidRPr="006238E1">
        <w:t>приквартирных</w:t>
      </w:r>
      <w:proofErr w:type="spellEnd"/>
      <w:r w:rsidRPr="006238E1"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6238E1">
        <w:t xml:space="preserve"> Д</w:t>
      </w:r>
      <w:proofErr w:type="gramEnd"/>
      <w:r w:rsidRPr="006238E1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6238E1">
          <w:t>600 м</w:t>
        </w:r>
        <w:r w:rsidRPr="006238E1">
          <w:rPr>
            <w:vertAlign w:val="superscript"/>
          </w:rPr>
          <w:t>2</w:t>
        </w:r>
      </w:smartTag>
      <w:r w:rsidRPr="006238E1">
        <w:rPr>
          <w:vertAlign w:val="superscript"/>
        </w:rPr>
        <w:t xml:space="preserve"> </w:t>
      </w:r>
      <w:r w:rsidRPr="006238E1">
        <w:t xml:space="preserve">и </w:t>
      </w:r>
      <w:r w:rsidRPr="006238E1">
        <w:lastRenderedPageBreak/>
        <w:t xml:space="preserve">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6238E1">
          <w:t>400 м</w:t>
        </w:r>
        <w:r w:rsidRPr="006238E1">
          <w:rPr>
            <w:vertAlign w:val="superscript"/>
          </w:rPr>
          <w:t>2</w:t>
        </w:r>
      </w:smartTag>
      <w:r w:rsidRPr="006238E1">
        <w:rPr>
          <w:vertAlign w:val="superscript"/>
        </w:rPr>
        <w:t xml:space="preserve"> </w:t>
      </w:r>
      <w:r w:rsidRPr="006238E1">
        <w:t xml:space="preserve">(включая площадь застройки) - при одно-, двух- или </w:t>
      </w:r>
      <w:proofErr w:type="spellStart"/>
      <w:r w:rsidRPr="006238E1">
        <w:t>четырехквартирных</w:t>
      </w:r>
      <w:proofErr w:type="spellEnd"/>
      <w:r w:rsidRPr="006238E1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6238E1">
          <w:t>100 м</w:t>
        </w:r>
        <w:proofErr w:type="gramStart"/>
        <w:r w:rsidRPr="006238E1">
          <w:rPr>
            <w:vertAlign w:val="superscript"/>
          </w:rPr>
          <w:t>2</w:t>
        </w:r>
      </w:smartTag>
      <w:proofErr w:type="gramEnd"/>
      <w:r w:rsidRPr="006238E1">
        <w:rPr>
          <w:vertAlign w:val="superscript"/>
        </w:rPr>
        <w:t xml:space="preserve"> </w:t>
      </w:r>
      <w:r w:rsidRPr="006238E1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6238E1">
          <w:t>60 м</w:t>
        </w:r>
        <w:r w:rsidRPr="006238E1">
          <w:rPr>
            <w:vertAlign w:val="superscript"/>
          </w:rPr>
          <w:t>2</w:t>
        </w:r>
      </w:smartTag>
      <w:r w:rsidRPr="006238E1">
        <w:rPr>
          <w:vertAlign w:val="superscript"/>
        </w:rPr>
        <w:t xml:space="preserve"> </w:t>
      </w:r>
      <w:r w:rsidRPr="006238E1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6238E1">
          <w:t>0,30 га</w:t>
        </w:r>
      </w:smartTag>
      <w:r w:rsidRPr="006238E1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6238E1">
          <w:t>0,30 га</w:t>
        </w:r>
      </w:smartTag>
      <w:r w:rsidRPr="006238E1">
        <w:t xml:space="preserve">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6238E1">
        <w:t>о-</w:t>
      </w:r>
      <w:proofErr w:type="gramEnd"/>
      <w:r w:rsidRPr="006238E1">
        <w:t xml:space="preserve">, водо-, </w:t>
      </w:r>
      <w:proofErr w:type="spellStart"/>
      <w:r w:rsidRPr="006238E1">
        <w:t>газообеспечение</w:t>
      </w:r>
      <w:proofErr w:type="spellEnd"/>
      <w:r w:rsidRPr="006238E1">
        <w:t xml:space="preserve">, </w:t>
      </w:r>
      <w:proofErr w:type="spellStart"/>
      <w:r w:rsidRPr="006238E1">
        <w:t>канализование</w:t>
      </w:r>
      <w:proofErr w:type="spellEnd"/>
      <w:r w:rsidRPr="006238E1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6238E1"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6238E1" w:rsidRPr="006238E1" w:rsidRDefault="006238E1" w:rsidP="006238E1">
      <w:pPr>
        <w:tabs>
          <w:tab w:val="left" w:pos="1134"/>
        </w:tabs>
        <w:spacing w:after="6" w:line="247" w:lineRule="auto"/>
        <w:ind w:right="10" w:firstLine="709"/>
        <w:jc w:val="both"/>
      </w:pPr>
      <w:r w:rsidRPr="006238E1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6238E1"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4458"/>
        <w:gridCol w:w="2171"/>
        <w:gridCol w:w="2226"/>
      </w:tblGrid>
      <w:tr w:rsidR="006238E1" w:rsidRPr="006238E1" w:rsidTr="00DD1D2F">
        <w:trPr>
          <w:trHeight w:val="905"/>
          <w:tblHeader/>
        </w:trPr>
        <w:tc>
          <w:tcPr>
            <w:tcW w:w="892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6238E1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6238E1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Расчетные единицы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 xml:space="preserve">Число </w:t>
            </w:r>
          </w:p>
          <w:p w:rsidR="006238E1" w:rsidRPr="006238E1" w:rsidRDefault="006238E1" w:rsidP="006238E1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238E1">
              <w:rPr>
                <w:rFonts w:eastAsia="Calibri"/>
                <w:b/>
                <w:sz w:val="18"/>
                <w:szCs w:val="18"/>
              </w:rPr>
              <w:t>машино</w:t>
            </w:r>
            <w:proofErr w:type="spellEnd"/>
            <w:r w:rsidRPr="006238E1">
              <w:rPr>
                <w:rFonts w:eastAsia="Calibri"/>
                <w:b/>
                <w:sz w:val="18"/>
                <w:szCs w:val="18"/>
              </w:rPr>
              <w:t xml:space="preserve">-мест </w:t>
            </w:r>
            <w:proofErr w:type="gramStart"/>
            <w:r w:rsidRPr="006238E1">
              <w:rPr>
                <w:rFonts w:eastAsia="Calibri"/>
                <w:b/>
                <w:sz w:val="18"/>
                <w:szCs w:val="18"/>
              </w:rPr>
              <w:t>на</w:t>
            </w:r>
            <w:proofErr w:type="gramEnd"/>
          </w:p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расчетную единицу</w:t>
            </w:r>
          </w:p>
        </w:tc>
      </w:tr>
      <w:tr w:rsidR="006238E1" w:rsidRPr="006238E1" w:rsidTr="00DD1D2F">
        <w:trPr>
          <w:trHeight w:val="233"/>
          <w:tblHeader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1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2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3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4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tabs>
                <w:tab w:val="left" w:pos="606"/>
              </w:tabs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Гостиницы, общежития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8-10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Отдельно стоящие объекты торговли с площадью торгового зала более 200м</w:t>
            </w:r>
            <w:r w:rsidRPr="006238E1">
              <w:rPr>
                <w:rFonts w:eastAsia="Calibri"/>
                <w:sz w:val="18"/>
                <w:szCs w:val="18"/>
                <w:vertAlign w:val="superscript"/>
              </w:rPr>
              <w:t>2</w:t>
            </w:r>
            <w:r w:rsidRPr="006238E1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238E1">
                <w:rPr>
                  <w:rFonts w:eastAsia="Calibri"/>
                  <w:sz w:val="18"/>
                  <w:szCs w:val="18"/>
                </w:rPr>
                <w:t>100 м</w:t>
              </w:r>
              <w:proofErr w:type="gramStart"/>
              <w:r w:rsidRPr="006238E1">
                <w:rPr>
                  <w:rFonts w:eastAsia="Calibri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6238E1"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6238E1">
              <w:rPr>
                <w:rFonts w:eastAsia="Calibri"/>
                <w:sz w:val="18"/>
                <w:szCs w:val="18"/>
              </w:rPr>
              <w:t>торговой площади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Рынки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50 торговых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20-25</w:t>
            </w:r>
          </w:p>
        </w:tc>
      </w:tr>
      <w:tr w:rsidR="006238E1" w:rsidRPr="006238E1" w:rsidTr="00DD1D2F">
        <w:trPr>
          <w:trHeight w:val="235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Музеи, театры, цирки, кинотеатры, выставочные залы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238E1" w:rsidRPr="006238E1" w:rsidTr="00DD1D2F">
        <w:trPr>
          <w:trHeight w:val="679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отдыхающих и обслуживающего персонала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Базы отдыха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Мотели, кемпинги, площадки для трейлеров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по расчетной вместимости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Парки культуры и отдыха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6238E1" w:rsidRPr="006238E1" w:rsidTr="00DD1D2F">
        <w:trPr>
          <w:trHeight w:val="235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Лесопарки (лесные массивы)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6238E1" w:rsidRPr="006238E1" w:rsidTr="00DD1D2F">
        <w:trPr>
          <w:trHeight w:val="456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jc w:val="both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15-20</w:t>
            </w:r>
          </w:p>
        </w:tc>
      </w:tr>
      <w:tr w:rsidR="006238E1" w:rsidRPr="006238E1" w:rsidTr="00DD1D2F">
        <w:trPr>
          <w:trHeight w:val="684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 w:right="76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Больничные учреждения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коек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238E1" w:rsidRPr="006238E1" w:rsidTr="00DD1D2F">
        <w:trPr>
          <w:trHeight w:val="456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Поликлиники и амбулаторные учреждения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посещений в смену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2-3</w:t>
            </w:r>
          </w:p>
        </w:tc>
      </w:tr>
      <w:tr w:rsidR="006238E1" w:rsidRPr="006238E1" w:rsidTr="00DD1D2F">
        <w:trPr>
          <w:trHeight w:val="1231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43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международные организации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proofErr w:type="gramStart"/>
            <w:r w:rsidRPr="006238E1">
              <w:rPr>
                <w:rFonts w:eastAsia="Calibri"/>
                <w:sz w:val="18"/>
                <w:szCs w:val="18"/>
              </w:rPr>
              <w:t>Бизнес-центры</w:t>
            </w:r>
            <w:proofErr w:type="gramEnd"/>
            <w:r w:rsidRPr="006238E1">
              <w:rPr>
                <w:rFonts w:eastAsia="Calibri"/>
                <w:sz w:val="18"/>
                <w:szCs w:val="18"/>
              </w:rPr>
              <w:t xml:space="preserve">, офисные центры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238E1" w:rsidRPr="006238E1" w:rsidTr="00DD1D2F">
        <w:trPr>
          <w:trHeight w:val="1354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 w:right="11"/>
              <w:rPr>
                <w:rFonts w:eastAsia="Calibri"/>
                <w:sz w:val="18"/>
                <w:szCs w:val="18"/>
              </w:rPr>
            </w:pPr>
            <w:proofErr w:type="gramStart"/>
            <w:r w:rsidRPr="006238E1">
              <w:rPr>
                <w:rFonts w:eastAsia="Calibri"/>
                <w:sz w:val="18"/>
                <w:szCs w:val="18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238E1" w:rsidRPr="006238E1" w:rsidTr="00DD1D2F">
        <w:trPr>
          <w:trHeight w:val="456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 w:right="101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сотрудников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Автовокзалы, железнодорожные вокзалы и станции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пассажиров в «час пик»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</w:tbl>
    <w:p w:rsidR="006238E1" w:rsidRPr="006238E1" w:rsidRDefault="006238E1" w:rsidP="006238E1"/>
    <w:p w:rsidR="006238E1" w:rsidRPr="006238E1" w:rsidRDefault="006238E1" w:rsidP="006238E1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238E1"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6238E1">
        <w:t>о-</w:t>
      </w:r>
      <w:proofErr w:type="gramEnd"/>
      <w:r w:rsidRPr="006238E1">
        <w:t xml:space="preserve"> планировочным и конструктивным решениям». </w:t>
      </w:r>
    </w:p>
    <w:p w:rsidR="006238E1" w:rsidRPr="006238E1" w:rsidRDefault="006238E1" w:rsidP="006238E1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238E1">
        <w:t xml:space="preserve">13. </w:t>
      </w:r>
      <w:proofErr w:type="gramStart"/>
      <w:r w:rsidRPr="006238E1">
        <w:t xml:space="preserve">В жилых зонах допускается </w:t>
      </w:r>
      <w:r w:rsidRPr="006238E1">
        <w:tab/>
        <w:t xml:space="preserve">размещать </w:t>
      </w:r>
      <w:r w:rsidRPr="006238E1">
        <w:tab/>
        <w:t xml:space="preserve">отдельные </w:t>
      </w:r>
      <w:r w:rsidRPr="006238E1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6238E1">
          <w:t>0,5 га</w:t>
        </w:r>
      </w:smartTag>
      <w:r w:rsidRPr="006238E1"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6238E1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6238E1">
          <w:t>25 м</w:t>
        </w:r>
      </w:smartTag>
      <w:r w:rsidRPr="006238E1">
        <w:t>.</w:t>
      </w:r>
    </w:p>
    <w:p w:rsidR="006238E1" w:rsidRPr="006238E1" w:rsidRDefault="006238E1" w:rsidP="006238E1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238E1">
        <w:t xml:space="preserve"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</w:t>
      </w:r>
      <w:r w:rsidRPr="006238E1">
        <w:lastRenderedPageBreak/>
        <w:t>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6238E1" w:rsidRPr="006238E1" w:rsidRDefault="006238E1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6238E1">
        <w:rPr>
          <w:rFonts w:eastAsia="Calibri"/>
          <w:b/>
          <w:bCs/>
          <w:szCs w:val="24"/>
        </w:rPr>
        <w:t>Статья 54. Градостроительные регламенты на территориях жилых зон</w:t>
      </w:r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238E1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238E1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6238E1">
        <w:rPr>
          <w:bCs/>
        </w:rPr>
        <w:t>Параметры застройки жилых зон</w:t>
      </w:r>
      <w:r w:rsidRPr="006238E1">
        <w:t xml:space="preserve"> определяются </w:t>
      </w:r>
      <w:r w:rsidRPr="006238E1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6238E1">
        <w:rPr>
          <w:rFonts w:eastAsia="Times New Roman CYR"/>
          <w:lang w:eastAsia="ar-SA"/>
        </w:rPr>
        <w:t xml:space="preserve">градостроительного проектирования </w:t>
      </w:r>
      <w:r w:rsidRPr="006238E1">
        <w:t xml:space="preserve">СП 42.13330.2011 «Градостроительство. Планировка и застройка городских и сельских поселений» и </w:t>
      </w:r>
      <w:r w:rsidRPr="006238E1">
        <w:rPr>
          <w:rFonts w:eastAsia="Calibri"/>
          <w:bCs/>
        </w:rPr>
        <w:t xml:space="preserve">СП 55.13330.2011 </w:t>
      </w:r>
      <w:r w:rsidRPr="006238E1">
        <w:t>«</w:t>
      </w:r>
      <w:r w:rsidRPr="006238E1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6238E1">
        <w:t>«</w:t>
      </w:r>
      <w:r w:rsidRPr="006238E1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238E1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6238E1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6238E1">
        <w:t>:</w:t>
      </w:r>
    </w:p>
    <w:p w:rsidR="006238E1" w:rsidRPr="006238E1" w:rsidRDefault="006238E1" w:rsidP="006238E1">
      <w:r w:rsidRPr="006238E1"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6238E1" w:rsidRPr="006238E1" w:rsidTr="00DD1D2F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238E1">
              <w:lastRenderedPageBreak/>
              <w:br w:type="page"/>
            </w:r>
            <w:r w:rsidRPr="006238E1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6238E1">
              <w:rPr>
                <w:b/>
                <w:szCs w:val="24"/>
                <w:lang w:bidi="ru-RU"/>
              </w:rPr>
              <w:t>жилых</w:t>
            </w:r>
            <w:proofErr w:type="gramEnd"/>
            <w:r w:rsidRPr="006238E1">
              <w:rPr>
                <w:b/>
                <w:szCs w:val="24"/>
                <w:lang w:bidi="ru-RU"/>
              </w:rPr>
              <w:t xml:space="preserve"> и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6238E1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6238E1" w:rsidRPr="006238E1" w:rsidTr="00DD1D2F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I, II, III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II, III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IV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0</w:t>
            </w:r>
            <w:proofErr w:type="gramEnd"/>
            <w:r w:rsidRPr="006238E1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IV, V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2</w:t>
            </w:r>
            <w:proofErr w:type="gramEnd"/>
            <w:r w:rsidRPr="006238E1">
              <w:rPr>
                <w:b/>
                <w:szCs w:val="24"/>
                <w:lang w:bidi="ru-RU"/>
              </w:rPr>
              <w:t>, С3</w:t>
            </w:r>
          </w:p>
        </w:tc>
      </w:tr>
      <w:tr w:rsidR="006238E1" w:rsidRPr="006238E1" w:rsidTr="00DD1D2F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6</w:t>
            </w:r>
          </w:p>
        </w:tc>
      </w:tr>
      <w:tr w:rsidR="006238E1" w:rsidRPr="006238E1" w:rsidTr="00DD1D2F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</w:tr>
      <w:tr w:rsidR="006238E1" w:rsidRPr="006238E1" w:rsidTr="00DD1D2F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</w:tr>
      <w:tr w:rsidR="006238E1" w:rsidRPr="006238E1" w:rsidTr="00DD1D2F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0</w:t>
            </w:r>
            <w:proofErr w:type="gramEnd"/>
            <w:r w:rsidRPr="006238E1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</w:tr>
      <w:tr w:rsidR="006238E1" w:rsidRPr="006238E1" w:rsidTr="00DD1D2F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2</w:t>
            </w:r>
            <w:proofErr w:type="gramEnd"/>
            <w:r w:rsidRPr="006238E1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15</w:t>
            </w:r>
          </w:p>
        </w:tc>
      </w:tr>
    </w:tbl>
    <w:p w:rsidR="006238E1" w:rsidRPr="006238E1" w:rsidRDefault="006238E1" w:rsidP="006238E1">
      <w:pPr>
        <w:spacing w:line="240" w:lineRule="auto"/>
      </w:pP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6238E1">
        <w:t>машино</w:t>
      </w:r>
      <w:proofErr w:type="spellEnd"/>
      <w:r w:rsidRPr="006238E1">
        <w:t xml:space="preserve">-место: 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для гаражей: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6238E1">
          <w:t>30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6238E1">
          <w:t>20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6238E1">
          <w:t>14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6238E1">
          <w:t>12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6238E1">
          <w:t>10 м</w:t>
        </w:r>
        <w:proofErr w:type="gramStart"/>
        <w:r w:rsidRPr="006238E1">
          <w:t>2</w:t>
        </w:r>
      </w:smartTag>
      <w:proofErr w:type="gramEnd"/>
      <w:r w:rsidRPr="006238E1">
        <w:t>.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6238E1">
        <w:t>машино</w:t>
      </w:r>
      <w:proofErr w:type="spellEnd"/>
      <w:r w:rsidRPr="006238E1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6238E1">
          <w:t>30 м</w:t>
        </w:r>
      </w:smartTag>
      <w:r w:rsidRPr="006238E1">
        <w:t xml:space="preserve"> 2.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>В состав жилых зон включаются: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>- зона застройки индивидуальными жилыми домами;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 xml:space="preserve">- зона застройки малоэтажными многоквартирными жилыми домами; 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 xml:space="preserve">- зона застройки </w:t>
      </w:r>
      <w:proofErr w:type="spellStart"/>
      <w:r w:rsidRPr="006238E1">
        <w:t>среднеэтажными</w:t>
      </w:r>
      <w:proofErr w:type="spellEnd"/>
      <w:r w:rsidRPr="006238E1">
        <w:t xml:space="preserve"> жилыми домами; 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>- зона застройки многоэтажными жилыми домами.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</w:p>
    <w:p w:rsidR="006238E1" w:rsidRPr="006238E1" w:rsidRDefault="006238E1" w:rsidP="006238E1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</w:rPr>
      </w:pPr>
      <w:r w:rsidRPr="006238E1">
        <w:rPr>
          <w:b/>
          <w:iCs/>
          <w:szCs w:val="24"/>
          <w:shd w:val="clear" w:color="auto" w:fill="FFFFFF"/>
        </w:rPr>
        <w:t>З</w:t>
      </w:r>
      <w:r w:rsidRPr="006238E1">
        <w:rPr>
          <w:b/>
          <w:i/>
          <w:iCs/>
          <w:szCs w:val="24"/>
          <w:shd w:val="clear" w:color="auto" w:fill="FFFFFF"/>
        </w:rPr>
        <w:t>она застройки индивидуальными жилыми домами (код зоны – Ж 1)</w:t>
      </w:r>
      <w:r w:rsidRPr="006238E1">
        <w:rPr>
          <w:i/>
          <w:iCs/>
          <w:szCs w:val="24"/>
          <w:shd w:val="clear" w:color="auto" w:fill="FFFFFF"/>
        </w:rPr>
        <w:t xml:space="preserve"> </w:t>
      </w:r>
      <w:r w:rsidRPr="006238E1">
        <w:rPr>
          <w:iCs/>
          <w:color w:val="000000"/>
          <w:shd w:val="clear" w:color="auto" w:fill="FFFFFF"/>
        </w:rPr>
        <w:t xml:space="preserve">выделена </w:t>
      </w:r>
      <w:proofErr w:type="gramStart"/>
      <w:r w:rsidRPr="006238E1">
        <w:rPr>
          <w:szCs w:val="24"/>
        </w:rPr>
        <w:t>для</w:t>
      </w:r>
      <w:proofErr w:type="gramEnd"/>
      <w:r w:rsidRPr="006238E1">
        <w:rPr>
          <w:szCs w:val="24"/>
        </w:rPr>
        <w:t>:</w:t>
      </w:r>
    </w:p>
    <w:p w:rsidR="006238E1" w:rsidRPr="006238E1" w:rsidRDefault="006238E1" w:rsidP="006238E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238E1">
        <w:rPr>
          <w:szCs w:val="24"/>
        </w:rPr>
        <w:t>- размещения индивидуальных жилых домов не выше трех надземных этажей;</w:t>
      </w:r>
    </w:p>
    <w:p w:rsidR="006238E1" w:rsidRPr="006238E1" w:rsidRDefault="006238E1" w:rsidP="006238E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238E1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6238E1" w:rsidRPr="006238E1" w:rsidRDefault="006238E1" w:rsidP="006238E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238E1">
        <w:rPr>
          <w:szCs w:val="24"/>
        </w:rPr>
        <w:t>- размещения индивидуальных гаражей и подсобных сооружений</w:t>
      </w:r>
      <w:r w:rsidRPr="006238E1">
        <w:rPr>
          <w:rFonts w:eastAsia="Times New Roman CYR"/>
          <w:szCs w:val="24"/>
          <w:lang w:eastAsia="ar-SA"/>
        </w:rPr>
        <w:t>.</w:t>
      </w:r>
    </w:p>
    <w:p w:rsidR="006238E1" w:rsidRPr="006238E1" w:rsidRDefault="006238E1" w:rsidP="006238E1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</w:rPr>
      </w:pPr>
    </w:p>
    <w:p w:rsidR="006238E1" w:rsidRPr="006238E1" w:rsidRDefault="006238E1" w:rsidP="006238E1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</w:rPr>
      </w:pPr>
      <w:r w:rsidRPr="006238E1">
        <w:rPr>
          <w:bCs/>
          <w:i/>
          <w:iCs/>
          <w:color w:val="000000"/>
          <w:u w:val="single"/>
          <w:shd w:val="clear" w:color="auto" w:fill="FFFFFF"/>
        </w:rPr>
        <w:t>Основные виды разрешенного использования (код вида разрешенного использования):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 для индивидуального жилищного строительства (2.1);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 для ведения личного подсобного хозяйства (2.2);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 блокированная жилая застройка (2.3);</w:t>
      </w:r>
    </w:p>
    <w:p w:rsidR="006238E1" w:rsidRPr="006238E1" w:rsidRDefault="006238E1" w:rsidP="006238E1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6238E1">
        <w:rPr>
          <w:rFonts w:eastAsia="Calibri"/>
          <w:szCs w:val="24"/>
        </w:rPr>
        <w:t>объекты гаражного назначения (2.7.1);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</w:rPr>
      </w:pPr>
      <w:r w:rsidRPr="006238E1">
        <w:rPr>
          <w:bCs/>
          <w:i/>
          <w:iCs/>
          <w:color w:val="000000"/>
          <w:u w:val="single"/>
          <w:shd w:val="clear" w:color="auto" w:fill="FFFFFF"/>
        </w:rPr>
        <w:t>Условно разрешенные виды использования (код вида разрешенного использования):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</w:t>
      </w:r>
      <w:proofErr w:type="spellStart"/>
      <w:r w:rsidRPr="006238E1">
        <w:rPr>
          <w:rFonts w:eastAsia="Calibri"/>
          <w:color w:val="000000"/>
        </w:rPr>
        <w:t>среднеэтажная</w:t>
      </w:r>
      <w:proofErr w:type="spellEnd"/>
      <w:r w:rsidRPr="006238E1">
        <w:rPr>
          <w:rFonts w:eastAsia="Calibri"/>
          <w:color w:val="000000"/>
        </w:rPr>
        <w:t xml:space="preserve"> жилая застройка (2.5).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</w:rPr>
      </w:pPr>
      <w:r w:rsidRPr="006238E1">
        <w:rPr>
          <w:bCs/>
          <w:i/>
          <w:iCs/>
          <w:color w:val="000000"/>
          <w:u w:val="single"/>
          <w:shd w:val="clear" w:color="auto" w:fill="FFFFFF"/>
        </w:rPr>
        <w:t>Вспомогательные виды разрешенного использования (код вида разрешенного использования):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  <w:r w:rsidRPr="006238E1">
        <w:rPr>
          <w:bCs/>
          <w:iCs/>
          <w:color w:val="000000"/>
          <w:shd w:val="clear" w:color="auto" w:fill="FFFFFF"/>
        </w:rPr>
        <w:t>– коммунальное обслуживание (3.1).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6238E1">
        <w:rPr>
          <w:rFonts w:eastAsia="Calibri"/>
          <w:color w:val="000000"/>
        </w:rPr>
        <w:t>– обслуживание жилой застройки (2.7).</w:t>
      </w:r>
    </w:p>
    <w:p w:rsidR="006238E1" w:rsidRPr="006238E1" w:rsidRDefault="006238E1" w:rsidP="006238E1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 w:rsidRPr="006238E1">
        <w:rPr>
          <w:rFonts w:eastAsia="Calibri"/>
          <w:color w:val="000000"/>
          <w:szCs w:val="24"/>
        </w:rPr>
        <w:t xml:space="preserve">   –общее пользование водными объектами (11.1)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–общее пользование территории (12.0).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  <w:r w:rsidRPr="006238E1">
        <w:rPr>
          <w:b/>
          <w:bCs/>
          <w:color w:val="000000"/>
          <w:szCs w:val="17"/>
          <w:shd w:val="clear" w:color="auto" w:fill="FFFFFF"/>
          <w:lang w:val="x-none" w:eastAsia="x-none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6238E1" w:rsidRPr="006238E1" w:rsidTr="00DD1D2F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№</w:t>
            </w:r>
            <w:proofErr w:type="gramStart"/>
            <w:r w:rsidRPr="006238E1">
              <w:rPr>
                <w:b/>
                <w:szCs w:val="24"/>
                <w:lang w:bidi="ru-RU"/>
              </w:rPr>
              <w:t>п</w:t>
            </w:r>
            <w:proofErr w:type="gramEnd"/>
            <w:r w:rsidRPr="006238E1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6238E1" w:rsidRPr="006238E1" w:rsidTr="00DD1D2F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5</w:t>
            </w:r>
          </w:p>
        </w:tc>
      </w:tr>
      <w:tr w:rsidR="006238E1" w:rsidRPr="006238E1" w:rsidTr="00DD1D2F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3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6238E1">
                <w:rPr>
                  <w:szCs w:val="24"/>
                  <w:lang w:bidi="ru-RU"/>
                </w:rPr>
                <w:t>14 м</w:t>
              </w:r>
            </w:smartTag>
            <w:r w:rsidRPr="006238E1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этаж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6238E1">
              <w:rPr>
                <w:szCs w:val="24"/>
                <w:lang w:bidi="ru-RU"/>
              </w:rPr>
              <w:t>ко</w:t>
            </w:r>
            <w:proofErr w:type="gramEnd"/>
            <w:r w:rsidRPr="006238E1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%</w:t>
            </w:r>
          </w:p>
        </w:tc>
      </w:tr>
      <w:tr w:rsidR="006238E1" w:rsidRPr="006238E1" w:rsidTr="00DD1D2F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кв. 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Предельная высота зданий</w:t>
            </w:r>
            <w:r w:rsidRPr="006238E1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6238E1">
                <w:rPr>
                  <w:szCs w:val="24"/>
                  <w:lang w:bidi="ru-RU"/>
                </w:rPr>
                <w:t>5 м</w:t>
              </w:r>
            </w:smartTag>
            <w:r w:rsidRPr="006238E1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</w:tbl>
    <w:p w:rsidR="006238E1" w:rsidRPr="006238E1" w:rsidRDefault="006238E1" w:rsidP="006238E1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6238E1">
        <w:rPr>
          <w:szCs w:val="24"/>
          <w:lang w:bidi="ru-RU"/>
        </w:rPr>
        <w:t xml:space="preserve">* </w:t>
      </w:r>
      <w:r w:rsidRPr="006238E1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  <w:r w:rsidRPr="006238E1">
        <w:rPr>
          <w:b/>
          <w:bCs/>
          <w:color w:val="000000"/>
          <w:szCs w:val="17"/>
          <w:shd w:val="clear" w:color="auto" w:fill="FFFFFF"/>
          <w:lang w:eastAsia="x-none"/>
        </w:rPr>
        <w:t>Дополнительные параметры</w:t>
      </w: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6238E1">
        <w:rPr>
          <w:szCs w:val="22"/>
        </w:rPr>
        <w:t>производится</w:t>
      </w:r>
      <w:proofErr w:type="gramEnd"/>
      <w:r w:rsidRPr="006238E1">
        <w:rPr>
          <w:szCs w:val="22"/>
        </w:rPr>
        <w:t xml:space="preserve"> вне зон видимости с территорий публичных пространств.</w:t>
      </w: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6238E1">
        <w:rPr>
          <w:szCs w:val="22"/>
          <w:lang w:eastAsia="ar-SA"/>
        </w:rPr>
        <w:t>.</w:t>
      </w: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  <w:bookmarkStart w:id="2" w:name="_GoBack"/>
      <w:bookmarkEnd w:id="2"/>
    </w:p>
    <w:p w:rsidR="006238E1" w:rsidRDefault="006238E1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6238E1" w:rsidSect="00E23D9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2018-02-28T06:59:00Z</dcterms:created>
  <dcterms:modified xsi:type="dcterms:W3CDTF">2019-02-06T06:40:00Z</dcterms:modified>
</cp:coreProperties>
</file>